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5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0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2.11.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2020 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362040, тел.: 70-76-05),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C621F6" w:rsidRPr="00C32112" w:rsidTr="001933E2">
        <w:trPr>
          <w:trHeight w:val="90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Площадь НТО, </w:t>
            </w:r>
            <w:proofErr w:type="spellStart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Специализация НТО</w:t>
            </w:r>
          </w:p>
        </w:tc>
      </w:tr>
      <w:tr w:rsidR="001933E2" w:rsidRPr="00C32112" w:rsidTr="00B82AF8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Заводской, Клубный проезд, 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55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Заводской, Клубный проезд,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Армянская,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(р-он дворца ОЗАТЭ)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(р-он дворца ОЗАТЭ)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Васо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Абаева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Васо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Абаева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Васо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Абаева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Зортова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ул. Титова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Зортова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ул. Титова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37"а"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Гвардейская/ 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Гвардейская/ 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Тельмана,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Зангиева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(р-он рынка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Фарн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Тхапсаева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(р-он динам. Моста)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Кутузова, 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1953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Тхапсаева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(р-он динам. Моста)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Цоколаева</w:t>
            </w:r>
            <w:proofErr w:type="spellEnd"/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Шмулевича,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1933E2" w:rsidRPr="00C32112" w:rsidTr="00B82AF8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3E2" w:rsidRPr="001953ED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Шмулевича,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3E2" w:rsidRPr="00C32112" w:rsidRDefault="001933E2" w:rsidP="0019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ёлок</w:t>
            </w:r>
          </w:p>
        </w:tc>
      </w:tr>
      <w:tr w:rsidR="00B82AF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1953ED" w:rsidRDefault="00B82AF8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Кырджалийская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 и плодоовощной продукции</w:t>
            </w:r>
          </w:p>
        </w:tc>
      </w:tr>
      <w:tr w:rsidR="00B82AF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1953ED" w:rsidRDefault="00B82AF8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Чапаева, 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-булочных</w:t>
            </w:r>
            <w:proofErr w:type="gram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</w:t>
            </w:r>
          </w:p>
        </w:tc>
      </w:tr>
      <w:tr w:rsidR="00B82AF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1953ED" w:rsidRDefault="00B82AF8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42/ ул. Ушинского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AF8" w:rsidRPr="003104A2" w:rsidRDefault="00B82AF8" w:rsidP="00B82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питьевой и газированной воды, мороженого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пр.Доватора,18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продовольственных товаров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Карцинское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продовольственных товаров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продовольственных товаров смешанного ассортимента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культур.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хлебобулочных изделий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Цоколаева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 и плодоовощной продукции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lastRenderedPageBreak/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Генерала </w:t>
            </w: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Дзусова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продовольственных товаров смешанного ассортимента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Бородинская, (р-он центрального рынка)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продовольственных товаров смешанного ассортимента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продукции животноводства и птицеводства</w:t>
            </w:r>
          </w:p>
        </w:tc>
      </w:tr>
      <w:tr w:rsidR="005A6E0F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1953ED" w:rsidRDefault="005A6E0F" w:rsidP="005A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16"а"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E0F" w:rsidRPr="003104A2" w:rsidRDefault="005A6E0F" w:rsidP="005A6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продукции животноводства и птицеводства</w:t>
            </w:r>
          </w:p>
        </w:tc>
      </w:tr>
      <w:tr w:rsidR="0012300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1953ED" w:rsidRDefault="00123008" w:rsidP="0012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продукции животноводства и птицеводства</w:t>
            </w:r>
          </w:p>
        </w:tc>
      </w:tr>
      <w:tr w:rsidR="0012300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1953ED" w:rsidRDefault="00123008" w:rsidP="0012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продовольственных товаров смешанного ассортимента</w:t>
            </w:r>
          </w:p>
        </w:tc>
      </w:tr>
      <w:tr w:rsidR="0012300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1953ED" w:rsidRDefault="00123008" w:rsidP="0012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 и плодоовощной продукции</w:t>
            </w:r>
          </w:p>
        </w:tc>
      </w:tr>
      <w:tr w:rsidR="0012300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1953ED" w:rsidRDefault="00123008" w:rsidP="0012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саженцев</w:t>
            </w:r>
          </w:p>
        </w:tc>
      </w:tr>
      <w:tr w:rsidR="0012300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1953ED" w:rsidRDefault="00123008" w:rsidP="0012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хлебобулочных изделий</w:t>
            </w:r>
          </w:p>
        </w:tc>
      </w:tr>
      <w:tr w:rsidR="0012300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1953ED" w:rsidRDefault="00123008" w:rsidP="0012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прочих услуг</w:t>
            </w:r>
          </w:p>
        </w:tc>
      </w:tr>
      <w:tr w:rsidR="00123008" w:rsidRPr="00C32112" w:rsidTr="003104A2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1953ED" w:rsidRDefault="00123008" w:rsidP="0012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08" w:rsidRPr="003104A2" w:rsidRDefault="00123008" w:rsidP="00123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продовольственных товаров смешанного ассортимента</w:t>
            </w:r>
          </w:p>
        </w:tc>
      </w:tr>
    </w:tbl>
    <w:p w:rsidR="000E7B48" w:rsidRDefault="000E7B48" w:rsidP="000E7B4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B48" w:rsidRPr="001953ED" w:rsidRDefault="000E7B48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1953ED">
        <w:rPr>
          <w:rFonts w:ascii="Times New Roman" w:hAnsi="Times New Roman" w:cs="Times New Roman"/>
          <w:b/>
          <w:sz w:val="28"/>
          <w:lang w:eastAsia="ru-RU"/>
        </w:rPr>
        <w:t>Период размещения</w:t>
      </w:r>
      <w:r w:rsidR="003104A2">
        <w:rPr>
          <w:rFonts w:ascii="Times New Roman" w:hAnsi="Times New Roman" w:cs="Times New Roman"/>
          <w:b/>
          <w:sz w:val="28"/>
          <w:lang w:eastAsia="ru-RU"/>
        </w:rPr>
        <w:t xml:space="preserve"> нестационарных торговых объектов по лотам № 1-22 с 15.12.2020 г. по 31.12.2020 г.</w:t>
      </w:r>
    </w:p>
    <w:p w:rsidR="003104A2" w:rsidRPr="001953ED" w:rsidRDefault="003104A2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1953ED">
        <w:rPr>
          <w:rFonts w:ascii="Times New Roman" w:hAnsi="Times New Roman" w:cs="Times New Roman"/>
          <w:b/>
          <w:sz w:val="28"/>
          <w:lang w:eastAsia="ru-RU"/>
        </w:rPr>
        <w:t>Период размещения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нестационарных торговых объектов по </w:t>
      </w:r>
      <w:r>
        <w:rPr>
          <w:rFonts w:ascii="Times New Roman" w:hAnsi="Times New Roman" w:cs="Times New Roman"/>
          <w:b/>
          <w:sz w:val="28"/>
          <w:lang w:eastAsia="ru-RU"/>
        </w:rPr>
        <w:t>лотам № 23-42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eastAsia="ru-RU"/>
        </w:rPr>
        <w:t>составляет 3 года.</w:t>
      </w:r>
    </w:p>
    <w:p w:rsidR="001953ED" w:rsidRDefault="001953ED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3104A2" w:rsidRPr="000E7B48" w:rsidRDefault="003104A2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E7B48" w:rsidRPr="000E7B48" w:rsidRDefault="000E7B48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Начальная цена </w:t>
      </w:r>
      <w:r w:rsidR="003104A2">
        <w:rPr>
          <w:rFonts w:ascii="Times New Roman" w:hAnsi="Times New Roman" w:cs="Times New Roman"/>
          <w:sz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lang w:eastAsia="ru-RU"/>
        </w:rPr>
        <w:t>Л</w:t>
      </w:r>
      <w:r w:rsidRPr="000E7B48">
        <w:rPr>
          <w:rFonts w:ascii="Times New Roman" w:hAnsi="Times New Roman" w:cs="Times New Roman"/>
          <w:sz w:val="28"/>
          <w:lang w:eastAsia="ru-RU"/>
        </w:rPr>
        <w:t>ота</w:t>
      </w:r>
      <w:r w:rsidR="003104A2">
        <w:rPr>
          <w:rFonts w:ascii="Times New Roman" w:hAnsi="Times New Roman" w:cs="Times New Roman"/>
          <w:sz w:val="28"/>
          <w:lang w:eastAsia="ru-RU"/>
        </w:rPr>
        <w:t>м № 1-22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104A2">
        <w:rPr>
          <w:rFonts w:ascii="Times New Roman" w:hAnsi="Times New Roman" w:cs="Times New Roman"/>
          <w:sz w:val="28"/>
          <w:lang w:eastAsia="ru-RU"/>
        </w:rPr>
        <w:t>4 733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0E7B48" w:rsidRDefault="000E7B48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104A2">
        <w:rPr>
          <w:rFonts w:ascii="Times New Roman" w:hAnsi="Times New Roman" w:cs="Times New Roman"/>
          <w:sz w:val="28"/>
          <w:lang w:eastAsia="ru-RU"/>
        </w:rPr>
        <w:t>946, 60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3104A2" w:rsidRDefault="003104A2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505BFA" w:rsidRPr="000E7B48" w:rsidRDefault="00783960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>
        <w:rPr>
          <w:rFonts w:ascii="Times New Roman" w:hAnsi="Times New Roman" w:cs="Times New Roman"/>
          <w:sz w:val="28"/>
          <w:lang w:eastAsia="ru-RU"/>
        </w:rPr>
        <w:t>2</w:t>
      </w:r>
      <w:r w:rsidR="003104A2">
        <w:rPr>
          <w:rFonts w:ascii="Times New Roman" w:hAnsi="Times New Roman" w:cs="Times New Roman"/>
          <w:sz w:val="28"/>
          <w:lang w:eastAsia="ru-RU"/>
        </w:rPr>
        <w:t>3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90 720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18 144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24</w:t>
      </w:r>
      <w:r w:rsidR="00783960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143 280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28 656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25</w:t>
      </w:r>
      <w:r w:rsidR="00783960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94 3320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18 864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26</w:t>
      </w:r>
      <w:r w:rsidR="00783960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77 760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15 552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27</w:t>
      </w:r>
      <w:r w:rsidR="00783960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77 760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15 552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28</w:t>
      </w:r>
      <w:r w:rsidR="00783960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158 544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31 708, 80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3104A2">
        <w:rPr>
          <w:rFonts w:ascii="Times New Roman" w:hAnsi="Times New Roman" w:cs="Times New Roman"/>
          <w:sz w:val="28"/>
          <w:lang w:eastAsia="ru-RU"/>
        </w:rPr>
        <w:t>29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120 960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24 192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="003104A2">
        <w:rPr>
          <w:rFonts w:ascii="Times New Roman" w:hAnsi="Times New Roman" w:cs="Times New Roman"/>
          <w:sz w:val="28"/>
          <w:lang w:eastAsia="ru-RU"/>
        </w:rPr>
        <w:t>ота 30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505BFA">
        <w:rPr>
          <w:rFonts w:ascii="Times New Roman" w:hAnsi="Times New Roman" w:cs="Times New Roman"/>
          <w:sz w:val="28"/>
          <w:lang w:eastAsia="ru-RU"/>
        </w:rPr>
        <w:t>57 600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="003104A2">
        <w:rPr>
          <w:rFonts w:ascii="Times New Roman" w:hAnsi="Times New Roman" w:cs="Times New Roman"/>
          <w:sz w:val="28"/>
          <w:lang w:eastAsia="ru-RU"/>
        </w:rPr>
        <w:t>ота 31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1</w:t>
      </w:r>
      <w:r w:rsidR="00505BFA">
        <w:rPr>
          <w:rFonts w:ascii="Times New Roman" w:hAnsi="Times New Roman" w:cs="Times New Roman"/>
          <w:sz w:val="28"/>
          <w:lang w:eastAsia="ru-RU"/>
        </w:rPr>
        <w:t>5</w:t>
      </w:r>
      <w:r w:rsidR="0034113E">
        <w:rPr>
          <w:rFonts w:ascii="Times New Roman" w:hAnsi="Times New Roman" w:cs="Times New Roman"/>
          <w:sz w:val="28"/>
          <w:lang w:eastAsia="ru-RU"/>
        </w:rPr>
        <w:t>1 2</w:t>
      </w:r>
      <w:r w:rsidR="00505BFA">
        <w:rPr>
          <w:rFonts w:ascii="Times New Roman" w:hAnsi="Times New Roman" w:cs="Times New Roman"/>
          <w:sz w:val="28"/>
          <w:lang w:eastAsia="ru-RU"/>
        </w:rPr>
        <w:t>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30 240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3104A2">
        <w:rPr>
          <w:rFonts w:ascii="Times New Roman" w:hAnsi="Times New Roman" w:cs="Times New Roman"/>
          <w:sz w:val="28"/>
          <w:lang w:eastAsia="ru-RU"/>
        </w:rPr>
        <w:t>32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396 360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79 272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33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396 360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79 272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34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71 640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14 328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35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71 64</w:t>
      </w:r>
      <w:r w:rsidR="00505BFA">
        <w:rPr>
          <w:rFonts w:ascii="Times New Roman" w:hAnsi="Times New Roman" w:cs="Times New Roman"/>
          <w:sz w:val="28"/>
          <w:lang w:eastAsia="ru-RU"/>
        </w:rPr>
        <w:t>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14 328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34113E" w:rsidRPr="0034113E" w:rsidRDefault="003104A2" w:rsidP="0034113E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36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34113E" w:rsidRPr="0034113E">
        <w:rPr>
          <w:rFonts w:ascii="Times New Roman" w:hAnsi="Times New Roman" w:cs="Times New Roman"/>
          <w:sz w:val="28"/>
          <w:lang w:eastAsia="ru-RU"/>
        </w:rPr>
        <w:t xml:space="preserve">составляет 71 640 руб. за указанный период. </w:t>
      </w:r>
    </w:p>
    <w:p w:rsidR="0034113E" w:rsidRDefault="0034113E" w:rsidP="0034113E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34113E">
        <w:rPr>
          <w:rFonts w:ascii="Times New Roman" w:hAnsi="Times New Roman" w:cs="Times New Roman"/>
          <w:sz w:val="28"/>
          <w:lang w:eastAsia="ru-RU"/>
        </w:rPr>
        <w:t>Размер задатка 14 328 руб.</w:t>
      </w:r>
    </w:p>
    <w:p w:rsidR="00505BFA" w:rsidRPr="000E7B48" w:rsidRDefault="00505BFA" w:rsidP="0034113E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 w:rsidR="003104A2">
        <w:rPr>
          <w:rFonts w:ascii="Times New Roman" w:hAnsi="Times New Roman" w:cs="Times New Roman"/>
          <w:sz w:val="28"/>
          <w:lang w:eastAsia="ru-RU"/>
        </w:rPr>
        <w:t>37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264 240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52 848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3104A2">
        <w:rPr>
          <w:rFonts w:ascii="Times New Roman" w:hAnsi="Times New Roman" w:cs="Times New Roman"/>
          <w:sz w:val="28"/>
          <w:lang w:eastAsia="ru-RU"/>
        </w:rPr>
        <w:t>38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151 2</w:t>
      </w:r>
      <w:r>
        <w:rPr>
          <w:rFonts w:ascii="Times New Roman" w:hAnsi="Times New Roman" w:cs="Times New Roman"/>
          <w:sz w:val="28"/>
          <w:lang w:eastAsia="ru-RU"/>
        </w:rPr>
        <w:t>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30 240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3104A2">
        <w:rPr>
          <w:rFonts w:ascii="Times New Roman" w:hAnsi="Times New Roman" w:cs="Times New Roman"/>
          <w:sz w:val="28"/>
          <w:lang w:eastAsia="ru-RU"/>
        </w:rPr>
        <w:t>39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188 640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 xml:space="preserve">37 728 </w:t>
      </w:r>
      <w:r w:rsidRPr="000E7B48">
        <w:rPr>
          <w:rFonts w:ascii="Times New Roman" w:hAnsi="Times New Roman" w:cs="Times New Roman"/>
          <w:sz w:val="28"/>
          <w:lang w:eastAsia="ru-RU"/>
        </w:rPr>
        <w:t>руб.</w:t>
      </w:r>
    </w:p>
    <w:p w:rsidR="00505BFA" w:rsidRPr="000E7B48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="003104A2">
        <w:rPr>
          <w:rFonts w:ascii="Times New Roman" w:hAnsi="Times New Roman" w:cs="Times New Roman"/>
          <w:sz w:val="28"/>
          <w:lang w:eastAsia="ru-RU"/>
        </w:rPr>
        <w:t>ота 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143 280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28 656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3104A2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4</w:t>
      </w:r>
      <w:r>
        <w:rPr>
          <w:rFonts w:ascii="Times New Roman" w:hAnsi="Times New Roman" w:cs="Times New Roman"/>
          <w:sz w:val="28"/>
          <w:lang w:eastAsia="ru-RU"/>
        </w:rPr>
        <w:t>1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1</w:t>
      </w:r>
      <w:r w:rsidR="0034113E">
        <w:rPr>
          <w:rFonts w:ascii="Times New Roman" w:hAnsi="Times New Roman" w:cs="Times New Roman"/>
          <w:sz w:val="28"/>
          <w:lang w:eastAsia="ru-RU"/>
        </w:rPr>
        <w:t>13 040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3104A2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22 608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3104A2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4</w:t>
      </w:r>
      <w:r>
        <w:rPr>
          <w:rFonts w:ascii="Times New Roman" w:hAnsi="Times New Roman" w:cs="Times New Roman"/>
          <w:sz w:val="28"/>
          <w:lang w:eastAsia="ru-RU"/>
        </w:rPr>
        <w:t>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4113E">
        <w:rPr>
          <w:rFonts w:ascii="Times New Roman" w:hAnsi="Times New Roman" w:cs="Times New Roman"/>
          <w:sz w:val="28"/>
          <w:lang w:eastAsia="ru-RU"/>
        </w:rPr>
        <w:t>264 240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3104A2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34113E">
        <w:rPr>
          <w:rFonts w:ascii="Times New Roman" w:hAnsi="Times New Roman" w:cs="Times New Roman"/>
          <w:sz w:val="28"/>
          <w:lang w:eastAsia="ru-RU"/>
        </w:rPr>
        <w:t>52 848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3960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C621F6" w:rsidRDefault="00783960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960">
        <w:rPr>
          <w:rFonts w:ascii="Times New Roman" w:hAnsi="Times New Roman" w:cs="Times New Roman"/>
          <w:sz w:val="28"/>
          <w:lang w:eastAsia="ru-RU"/>
        </w:rPr>
        <w:lastRenderedPageBreak/>
        <w:t>Шаг аукциона составляет: не более 1</w:t>
      </w:r>
      <w:r>
        <w:rPr>
          <w:rFonts w:ascii="Times New Roman" w:hAnsi="Times New Roman" w:cs="Times New Roman"/>
          <w:sz w:val="28"/>
          <w:lang w:eastAsia="ru-RU"/>
        </w:rPr>
        <w:t>0</w:t>
      </w:r>
      <w:r w:rsidRPr="00783960">
        <w:rPr>
          <w:rFonts w:ascii="Times New Roman" w:hAnsi="Times New Roman" w:cs="Times New Roman"/>
          <w:sz w:val="28"/>
          <w:lang w:eastAsia="ru-RU"/>
        </w:rPr>
        <w:t xml:space="preserve"> % от начальной цены Лота.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аукционе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с момента опубликования по </w:t>
      </w:r>
      <w:r w:rsidR="001034ED">
        <w:rPr>
          <w:rFonts w:ascii="Times New Roman" w:eastAsia="Times New Roman" w:hAnsi="Times New Roman" w:cs="Times New Roman"/>
          <w:sz w:val="28"/>
          <w:szCs w:val="24"/>
          <w:lang w:eastAsia="zh-CN"/>
        </w:rPr>
        <w:t>02.12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 г. 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Место получения информации об условиях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: г. Владикавказ, пл. Штыба, 2, 3 этаж, кабинет № 308, с 10 ч. 00 мин. до 17 ч. 00 мин. ежедневно, тел.70-76-05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18 ч. 00 мин. ежедневно.</w:t>
      </w:r>
    </w:p>
    <w:p w:rsidR="00B50561" w:rsidRPr="00B50561" w:rsidRDefault="00B50561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1953E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крытие и рассмотрение заявок: </w:t>
      </w:r>
      <w:r w:rsidR="001034ED">
        <w:rPr>
          <w:rFonts w:ascii="Times New Roman" w:eastAsia="Times New Roman" w:hAnsi="Times New Roman" w:cs="Times New Roman"/>
          <w:sz w:val="28"/>
          <w:szCs w:val="24"/>
          <w:lang w:eastAsia="zh-CN"/>
        </w:rPr>
        <w:t>04.12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ремя и место проведения 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1034ED">
        <w:rPr>
          <w:rFonts w:ascii="Times New Roman" w:eastAsia="Times New Roman" w:hAnsi="Times New Roman" w:cs="Times New Roman"/>
          <w:sz w:val="28"/>
          <w:szCs w:val="24"/>
          <w:lang w:eastAsia="zh-CN"/>
        </w:rPr>
        <w:t>07.12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C621F6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1034ED">
        <w:rPr>
          <w:rFonts w:ascii="Times New Roman" w:eastAsia="Times New Roman" w:hAnsi="Times New Roman" w:cs="Times New Roman"/>
          <w:sz w:val="28"/>
          <w:szCs w:val="24"/>
          <w:lang w:eastAsia="zh-CN"/>
        </w:rPr>
        <w:t>07</w:t>
      </w:r>
      <w:r w:rsidR="0034113E">
        <w:rPr>
          <w:rFonts w:ascii="Times New Roman" w:eastAsia="Times New Roman" w:hAnsi="Times New Roman" w:cs="Times New Roman"/>
          <w:sz w:val="28"/>
          <w:szCs w:val="24"/>
          <w:lang w:eastAsia="zh-CN"/>
        </w:rPr>
        <w:t>.12</w:t>
      </w:r>
      <w:bookmarkStart w:id="0" w:name="_GoBack"/>
      <w:bookmarkEnd w:id="0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.2020.</w:t>
      </w:r>
    </w:p>
    <w:p w:rsidR="00C621F6" w:rsidRPr="005362A2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C621F6" w:rsidRDefault="00C621F6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 w:rsidR="00B5056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влением АМС </w:t>
      </w:r>
      <w:proofErr w:type="spellStart"/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г.Владикавказа</w:t>
      </w:r>
      <w:proofErr w:type="spellEnd"/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02.09.2020 № 652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Организатор аукциона - Управление экономики, предпринимательства и инвестиционных проектов АМС </w:t>
      </w:r>
      <w:proofErr w:type="spellStart"/>
      <w:r w:rsidRPr="003B4F4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3B4F47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настоящем Положении.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lastRenderedPageBreak/>
        <w:t>Участник аукциона - заявитель, подавший заявку на участие в аукционе и допущенный к участию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 xml:space="preserve">.1. 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.2. 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B2898">
        <w:rPr>
          <w:rFonts w:ascii="Times New Roman" w:hAnsi="Times New Roman" w:cs="Times New Roman"/>
          <w:sz w:val="28"/>
          <w:szCs w:val="28"/>
        </w:rPr>
        <w:t>. 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десяти рабочих дней с даты принятия решения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B2898">
        <w:rPr>
          <w:rFonts w:ascii="Times New Roman" w:hAnsi="Times New Roman" w:cs="Times New Roman"/>
          <w:sz w:val="28"/>
          <w:szCs w:val="28"/>
        </w:rPr>
        <w:t>. Организатор аукциона разрабатывает и утверждает аукционную 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B2898">
        <w:rPr>
          <w:rFonts w:ascii="Times New Roman" w:hAnsi="Times New Roman" w:cs="Times New Roman"/>
          <w:sz w:val="28"/>
          <w:szCs w:val="28"/>
        </w:rPr>
        <w:t xml:space="preserve">. 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равной для всех участников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B2898">
        <w:rPr>
          <w:rFonts w:ascii="Times New Roman" w:hAnsi="Times New Roman" w:cs="Times New Roman"/>
          <w:sz w:val="28"/>
          <w:szCs w:val="28"/>
        </w:rPr>
        <w:t>. 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B2898">
        <w:rPr>
          <w:rFonts w:ascii="Times New Roman" w:hAnsi="Times New Roman" w:cs="Times New Roman"/>
          <w:sz w:val="28"/>
          <w:szCs w:val="28"/>
        </w:rPr>
        <w:t>. Извещение о проведении аукциона должно содержать сведения: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) о порядке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) о форме заявки и сроках ее подачи;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</w:t>
      </w:r>
      <w:r>
        <w:rPr>
          <w:rFonts w:ascii="Times New Roman" w:hAnsi="Times New Roman" w:cs="Times New Roman"/>
          <w:sz w:val="28"/>
          <w:szCs w:val="28"/>
        </w:rPr>
        <w:t>дмета аукциона ("шаг аукциона");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 Порядок предоставления заявок на участие в аукционе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.1. Заявителем может быть любое юридическое лицо или индивидуальный предприниматель.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 xml:space="preserve">.2. 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настоящему Постановлению;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аукционе должна содержать также документ, подтверждающий полномочия такого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на официальном сайте торгов 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на  учет физического лица 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архитектурное решение (э</w:t>
      </w:r>
      <w:r w:rsidRPr="006C5D94">
        <w:rPr>
          <w:rFonts w:ascii="Times New Roman" w:hAnsi="Times New Roman" w:cs="Times New Roman"/>
          <w:sz w:val="28"/>
          <w:szCs w:val="28"/>
        </w:rPr>
        <w:t>скизный проект, включающий ситуационный план, генеральный план, кладоч</w:t>
      </w:r>
      <w:r>
        <w:rPr>
          <w:rFonts w:ascii="Times New Roman" w:hAnsi="Times New Roman" w:cs="Times New Roman"/>
          <w:sz w:val="28"/>
          <w:szCs w:val="28"/>
        </w:rPr>
        <w:t>ный план (план на отметке нуля),</w:t>
      </w:r>
      <w:r w:rsidRPr="006C5D94">
        <w:rPr>
          <w:rFonts w:ascii="Times New Roman" w:hAnsi="Times New Roman" w:cs="Times New Roman"/>
          <w:sz w:val="28"/>
          <w:szCs w:val="28"/>
        </w:rPr>
        <w:t xml:space="preserve"> фасады НТО в четырех</w:t>
      </w:r>
      <w:r w:rsidRPr="006C5D94">
        <w:t xml:space="preserve"> </w:t>
      </w:r>
      <w:r w:rsidRPr="006C5D94">
        <w:rPr>
          <w:rFonts w:ascii="Times New Roman" w:hAnsi="Times New Roman" w:cs="Times New Roman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</w:t>
      </w:r>
      <w:r>
        <w:rPr>
          <w:rFonts w:ascii="Times New Roman" w:hAnsi="Times New Roman" w:cs="Times New Roman"/>
          <w:sz w:val="28"/>
          <w:szCs w:val="28"/>
        </w:rPr>
        <w:t>л стен, кровли фасадные решения).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C621F6" w:rsidRPr="00FC5F94" w:rsidRDefault="00C621F6" w:rsidP="00C62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</w:t>
      </w:r>
      <w:r w:rsidRPr="00FC5F94">
        <w:rPr>
          <w:rFonts w:ascii="Times New Roman" w:hAnsi="Times New Roman" w:cs="Times New Roman"/>
          <w:sz w:val="28"/>
          <w:szCs w:val="28"/>
        </w:rPr>
        <w:lastRenderedPageBreak/>
        <w:t xml:space="preserve">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C5F94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FC5F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ентации, установленных пунктом 4.5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предоставления документов, указанных в п.4.2 настоящего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5B">
        <w:rPr>
          <w:rFonts w:ascii="Times New Roman" w:hAnsi="Times New Roman" w:cs="Times New Roman"/>
          <w:sz w:val="28"/>
          <w:szCs w:val="28"/>
        </w:rPr>
        <w:t>-   не соответствие архитектурного решения, представленного Заявителем, типовым архитектурным решениям нестационарных торговых объектов, представленным в настоящем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</w:t>
      </w:r>
      <w:r w:rsidRPr="00FC5F94">
        <w:rPr>
          <w:rFonts w:ascii="Times New Roman" w:hAnsi="Times New Roman" w:cs="Times New Roman"/>
          <w:sz w:val="28"/>
          <w:szCs w:val="28"/>
        </w:rPr>
        <w:lastRenderedPageBreak/>
        <w:t xml:space="preserve">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размещается Управлением на официальном сайте МО </w:t>
      </w:r>
      <w:proofErr w:type="spellStart"/>
      <w:r w:rsidRPr="00FC5F94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FC5F9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2B2898">
        <w:rPr>
          <w:rFonts w:ascii="Times New Roman" w:hAnsi="Times New Roman" w:cs="Times New Roman"/>
          <w:sz w:val="28"/>
          <w:szCs w:val="28"/>
        </w:rPr>
        <w:t>. 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2B2898">
        <w:rPr>
          <w:rFonts w:ascii="Times New Roman" w:hAnsi="Times New Roman" w:cs="Times New Roman"/>
          <w:sz w:val="28"/>
          <w:szCs w:val="28"/>
        </w:rPr>
        <w:t>. Для участия в аукционе заявитель вносит задаток на указанный в извещении о проведении аукциона счет организатора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 Порядок проведения аукциона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.1. 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.2. 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.3. Организатор аукциона ведет аудиозапись процедуры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.4. 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.5. 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.6. 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.7. Во время проведения аукциона его участникам запрещается покидать зал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.8. 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, которые они поднимают после оглашения аукционистом начальной цены и каждой очередной цены в случае, если готовы заключить договор на размещение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 в соответствии с этой ценой.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.9. 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.10. Результаты аукциона оформляются протоколом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.11. Цена лота, предложенная победителем аукциона, заносится в протокол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.12.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аукциона, оформленный по итогам проведения аукциона, является основанием для заключения договора на размещение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 с победителем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 случае уклонения победителя ау</w:t>
      </w:r>
      <w:r>
        <w:rPr>
          <w:rFonts w:ascii="Times New Roman" w:hAnsi="Times New Roman" w:cs="Times New Roman"/>
          <w:sz w:val="28"/>
          <w:szCs w:val="28"/>
        </w:rPr>
        <w:t xml:space="preserve">кциона от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победителем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.13. </w:t>
      </w: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2898">
        <w:rPr>
          <w:rFonts w:ascii="Times New Roman" w:hAnsi="Times New Roman" w:cs="Times New Roman"/>
          <w:sz w:val="28"/>
          <w:szCs w:val="28"/>
        </w:rPr>
        <w:t>. Порядок заключения договора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Договор на право размещения нестационарного торгового объекта на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Владикавказа </w:t>
      </w:r>
      <w:r w:rsidRPr="002B2898">
        <w:rPr>
          <w:rFonts w:ascii="Times New Roman" w:hAnsi="Times New Roman" w:cs="Times New Roman"/>
          <w:sz w:val="28"/>
          <w:szCs w:val="28"/>
        </w:rPr>
        <w:t xml:space="preserve">готовится организатором аукциона </w:t>
      </w:r>
      <w:r>
        <w:rPr>
          <w:rFonts w:ascii="Times New Roman" w:hAnsi="Times New Roman" w:cs="Times New Roman"/>
          <w:sz w:val="28"/>
          <w:szCs w:val="28"/>
        </w:rPr>
        <w:t>в течение 20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.1. Проведения ликвидации юридического лица или принятия арбитражным судом решения о введении процедур банкротства.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 xml:space="preserve">.2. Приостановления деятельности такого лица в порядке, предусмотренном </w:t>
      </w:r>
      <w:hyperlink r:id="rId5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.3. Прекращения деятельности в качестве индивидуального предпринимателя, юридического лица.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7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74">
        <w:rPr>
          <w:rFonts w:ascii="Times New Roman" w:hAnsi="Times New Roman" w:cs="Times New Roman"/>
          <w:sz w:val="28"/>
          <w:szCs w:val="28"/>
        </w:rPr>
        <w:t xml:space="preserve">. 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6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 xml:space="preserve">следствий чрезвычайных ситуаций, при необходимости использования земельного участка для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7.Аукционная комиссия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7.1. 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самоуправления </w:t>
      </w:r>
      <w:proofErr w:type="spellStart"/>
      <w:r w:rsidRPr="0082327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823273">
        <w:rPr>
          <w:rFonts w:ascii="Times New Roman" w:hAnsi="Times New Roman" w:cs="Times New Roman"/>
          <w:sz w:val="28"/>
          <w:szCs w:val="28"/>
        </w:rPr>
        <w:t>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7.2. 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7.3. Комиссия собирается по мере необходимости.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</w:t>
      </w:r>
      <w:r w:rsidRPr="00823273">
        <w:rPr>
          <w:rFonts w:ascii="Times New Roman" w:hAnsi="Times New Roman" w:cs="Times New Roman"/>
          <w:sz w:val="28"/>
          <w:szCs w:val="28"/>
        </w:rPr>
        <w:lastRenderedPageBreak/>
        <w:t>принимающих участие в работе Комиссии, о времени и месте проведения заседаний.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C621F6" w:rsidRPr="00026DB1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Получатель: администрация местного самоуправления </w:t>
      </w:r>
      <w:proofErr w:type="spellStart"/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г.Владикавказа</w:t>
      </w:r>
      <w:proofErr w:type="spellEnd"/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proofErr w:type="gramStart"/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лицевой</w:t>
      </w:r>
      <w:proofErr w:type="gramEnd"/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счет в УФК по РСО-Алания: 05103005030</w:t>
      </w: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Расчетный счет: 40302810590333000049 в Отделение-НБ РСО-Алания </w:t>
      </w:r>
      <w:proofErr w:type="spellStart"/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БИК 049033001</w:t>
      </w: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ИНН1501002346</w:t>
      </w: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КПП 151501001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960" w:rsidRDefault="00783960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A" w:rsidRDefault="00505BF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B50561" w:rsidP="00B5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21F6">
        <w:rPr>
          <w:rFonts w:ascii="Times New Roman" w:hAnsi="Times New Roman" w:cs="Times New Roman"/>
          <w:sz w:val="28"/>
          <w:szCs w:val="28"/>
        </w:rPr>
        <w:t>Минимальный размер оплаты</w:t>
      </w:r>
      <w:r w:rsidR="00C621F6"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C621F6" w:rsidRPr="00DE2809" w:rsidRDefault="00C621F6" w:rsidP="00C621F6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C621F6" w:rsidRPr="00DE2809" w:rsidTr="00B50561">
        <w:tc>
          <w:tcPr>
            <w:tcW w:w="2381" w:type="dxa"/>
            <w:vMerge w:val="restart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C621F6" w:rsidRPr="00DE2809" w:rsidTr="00B50561">
        <w:tc>
          <w:tcPr>
            <w:tcW w:w="2381" w:type="dxa"/>
            <w:vMerge/>
          </w:tcPr>
          <w:p w:rsidR="00C621F6" w:rsidRPr="00DE2809" w:rsidRDefault="00C621F6" w:rsidP="00C6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CA3E4D"/>
    <w:p w:rsidR="00C621F6" w:rsidRDefault="00C621F6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1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823273" w:rsidRDefault="00C621F6" w:rsidP="00C621F6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C621F6" w:rsidRPr="00131CA1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C621F6" w:rsidRPr="00E6462B" w:rsidRDefault="00B82AF8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7" w:history="1">
        <w:r w:rsidR="00C621F6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C621F6" w:rsidRPr="00C20D89" w:rsidRDefault="00C621F6" w:rsidP="00C62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ней всех заинтересованных лиц и размещения необходимой информации на официальном сайте администрации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BFA" w:rsidRDefault="00505BFA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5.1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C621F6" w:rsidRPr="000B49E3" w:rsidTr="00C621F6">
        <w:tc>
          <w:tcPr>
            <w:tcW w:w="4814" w:type="dxa"/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г. Владикавказ</w:t>
            </w:r>
          </w:p>
        </w:tc>
        <w:tc>
          <w:tcPr>
            <w:tcW w:w="4815" w:type="dxa"/>
          </w:tcPr>
          <w:p w:rsidR="00C621F6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прилегающую территорию (10 метров) в надлежащем санитарном состоянии.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B82AF8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B82AF8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B82AF8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B82AF8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B82AF8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2.4.8. Освободить занимаемую территорию от конструкций НТО и привести ее в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первоначальное состояние в течение 3 (трех) дней: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5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Получатель УФК по РСО-Алания (Администрация местного самоуправления г. Владикавказа)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C621F6" w:rsidRPr="000B49E3" w:rsidRDefault="00B82AF8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C621F6" w:rsidRPr="000B49E3" w:rsidRDefault="00B82AF8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C621F6" w:rsidRPr="000B49E3" w:rsidRDefault="00B82AF8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 экономики, предпринимательства и инвестиционных проектов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Default="00C621F6"/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5.2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(торгово-остановочный комплекс) на территории муниципального образования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1933E2" w:rsidRPr="000B49E3" w:rsidTr="00B82AF8">
        <w:tc>
          <w:tcPr>
            <w:tcW w:w="4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 201__ года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работе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3 (трех) месяцев с даты заключения договора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1933E2" w:rsidRPr="00E31FDD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ч. 1 ст. 395 ГК РФ, в случае несвоевременной оплаты по договору Участник уплачивает Администрации пеню в размере 1/365 ключевой ставки Банка России, действовавшей в соответствующие периоды, от всей суммы долга за каждый день просрочки.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2.4.7.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не позднее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истечения Договора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одать заявление о его продлении,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B42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 не позднее 30 дней после истечения срока договора. 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2.4.8. Организовать на установленном НТО автономную точку доступа к сети интернет по технологии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fi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безвозмездно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ее бесперебойную работу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населения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2.4.9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Освободить занимаемую территорию от конструкций НТО и привести ее в первоначальное состояние в течение 3 (трех) дней: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2.4.1, 2.4.2, 2.4.3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2.4.7, 2.4.8, 2.4.9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4. Прочие условия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</w:t>
      </w:r>
      <w:r>
        <w:t xml:space="preserve">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2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 схемы расположения (размещения) НТО (графический пл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3896"/>
      </w:tblGrid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26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2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C621F6" w:rsidRDefault="00C621F6"/>
    <w:sectPr w:rsidR="00C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E7B48"/>
    <w:rsid w:val="001034ED"/>
    <w:rsid w:val="00112274"/>
    <w:rsid w:val="00123008"/>
    <w:rsid w:val="00172200"/>
    <w:rsid w:val="001933E2"/>
    <w:rsid w:val="001953ED"/>
    <w:rsid w:val="003104A2"/>
    <w:rsid w:val="0034113E"/>
    <w:rsid w:val="004E0396"/>
    <w:rsid w:val="00505BFA"/>
    <w:rsid w:val="005A6E0F"/>
    <w:rsid w:val="00783960"/>
    <w:rsid w:val="00B50561"/>
    <w:rsid w:val="00B82AF8"/>
    <w:rsid w:val="00C621F6"/>
    <w:rsid w:val="00CA3E4D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E97EC-726E-4745-B7A2-E7154CF1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45533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4853.1000" TargetMode="External"/><Relationship Id="rId7" Type="http://schemas.openxmlformats.org/officeDocument/2006/relationships/hyperlink" Target="garantF1://12034853.1000" TargetMode="External"/><Relationship Id="rId12" Type="http://schemas.openxmlformats.org/officeDocument/2006/relationships/hyperlink" Target="garantF1://70365940.0" TargetMode="External"/><Relationship Id="rId17" Type="http://schemas.openxmlformats.org/officeDocument/2006/relationships/hyperlink" Target="garantF1://70365940.0" TargetMode="External"/><Relationship Id="rId25" Type="http://schemas.openxmlformats.org/officeDocument/2006/relationships/hyperlink" Target="garantF1://10064072.32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4853.1000" TargetMode="External"/><Relationship Id="rId20" Type="http://schemas.openxmlformats.org/officeDocument/2006/relationships/hyperlink" Target="garantF1://455333.0" TargetMode="External"/><Relationship Id="rId29" Type="http://schemas.openxmlformats.org/officeDocument/2006/relationships/hyperlink" Target="garantF1://70308460.1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AF642BB2C4DB9008A40AD939A9C6759234B792F051FEB0CADD0AD5E079263BE18C85511B4CB34AA72F1i10EG" TargetMode="External"/><Relationship Id="rId11" Type="http://schemas.openxmlformats.org/officeDocument/2006/relationships/hyperlink" Target="garantF1://12074212.1000" TargetMode="External"/><Relationship Id="rId24" Type="http://schemas.openxmlformats.org/officeDocument/2006/relationships/hyperlink" Target="garantF1://70308460.100000" TargetMode="External"/><Relationship Id="rId5" Type="http://schemas.openxmlformats.org/officeDocument/2006/relationships/hyperlink" Target="consultantplus://offline/ref=461AF642BB2C4DB9008A5EA085F6C3625D28117C2A011CBB54F28BF009i00EG" TargetMode="External"/><Relationship Id="rId15" Type="http://schemas.openxmlformats.org/officeDocument/2006/relationships/hyperlink" Target="garantF1://455333.0" TargetMode="External"/><Relationship Id="rId23" Type="http://schemas.openxmlformats.org/officeDocument/2006/relationships/hyperlink" Target="garantF1://70365940.0" TargetMode="External"/><Relationship Id="rId28" Type="http://schemas.openxmlformats.org/officeDocument/2006/relationships/hyperlink" Target="garantF1://70365940.0" TargetMode="External"/><Relationship Id="rId10" Type="http://schemas.openxmlformats.org/officeDocument/2006/relationships/hyperlink" Target="garantF1://12034853.1000" TargetMode="External"/><Relationship Id="rId19" Type="http://schemas.openxmlformats.org/officeDocument/2006/relationships/hyperlink" Target="garantF1://10006035.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455333.0" TargetMode="External"/><Relationship Id="rId14" Type="http://schemas.openxmlformats.org/officeDocument/2006/relationships/hyperlink" Target="garantF1://10064072.3200" TargetMode="External"/><Relationship Id="rId22" Type="http://schemas.openxmlformats.org/officeDocument/2006/relationships/hyperlink" Target="garantF1://12074212.1000" TargetMode="External"/><Relationship Id="rId27" Type="http://schemas.openxmlformats.org/officeDocument/2006/relationships/hyperlink" Target="garantF1://12034853.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8363</Words>
  <Characters>47672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Лавер Битаров</cp:lastModifiedBy>
  <cp:revision>11</cp:revision>
  <cp:lastPrinted>2020-10-05T06:07:00Z</cp:lastPrinted>
  <dcterms:created xsi:type="dcterms:W3CDTF">2020-10-01T08:07:00Z</dcterms:created>
  <dcterms:modified xsi:type="dcterms:W3CDTF">2020-11-02T14:54:00Z</dcterms:modified>
</cp:coreProperties>
</file>